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Layout w:type="fixed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56"/>
        <w:gridCol w:w="2303"/>
      </w:tblGrid>
      <w:tr>
        <w:tc>
          <w:tcPr>
            <w:tcW w:type="dxa" w:w="4680"/>
          </w:tcPr>
          <w:p>
            <w:pPr>
              <w:spacing w:after="0"/>
            </w:pPr>
            <w:r>
              <w:rPr>
                <w:rFonts w:ascii="Inter" w:hAnsi="Inter"/>
                <w:b/>
                <w:color w:val="FFFFFF"/>
                <w:sz w:val="18"/>
                <w:shd w:val="clear" w:color="auto" w:fill="C8392F"/>
              </w:rPr>
              <w:t xml:space="preserve"> CPP </w:t>
            </w:r>
            <w:r>
              <w:rPr>
                <w:rFonts w:ascii="Inter" w:hAnsi="Inter"/>
                <w:b/>
                <w:color w:val="0D1B2A"/>
                <w:sz w:val="21"/>
              </w:rPr>
              <w:t xml:space="preserve">  Critical Path Partners</w:t>
            </w:r>
            <w:r>
              <w:rPr>
                <w:rFonts w:ascii="Inter" w:hAnsi="Inter"/>
                <w:color w:val="33455A"/>
                <w:sz w:val="18"/>
              </w:rPr>
              <w:t xml:space="preserve">   Forensic schedule analysis</w:t>
            </w:r>
          </w:p>
        </w:tc>
        <w:tc>
          <w:tcPr>
            <w:tcW w:type="dxa" w:w="4680"/>
          </w:tcPr>
          <w:p>
            <w:pPr>
              <w:spacing w:after="0"/>
              <w:jc w:val="right"/>
            </w:pPr>
            <w:r>
              <w:rPr>
                <w:rFonts w:ascii="Consolas" w:hAnsi="Consolas"/>
                <w:color w:val="33455A"/>
                <w:sz w:val="16"/>
              </w:rPr>
              <w:t>CPP-INV / SPECIMEN</w:t>
            </w:r>
          </w:p>
        </w:tc>
      </w:tr>
    </w:tbl>
    <w:p>
      <w:pPr>
        <w:spacing w:before="60" w:after="200"/>
        <w:pBdr>
          <w:bottom w:val="single" w:sz="8" w:space="4" w:color="0F2540"/>
        </w:pBdr>
      </w:pP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360"/>
      </w:tblGrid>
      <w:tr>
        <w:tc>
          <w:tcPr>
            <w:tcW w:type="dxa" w:w="9360"/>
          </w:tcPr>
          <w:p>
            <w:pPr>
              <w:spacing w:after="40"/>
            </w:pPr>
            <w:r>
              <w:rPr>
                <w:rFonts w:ascii="Inter" w:hAnsi="Inter"/>
                <w:b/>
                <w:color w:val="0D1B2A"/>
                <w:sz w:val="44"/>
              </w:rPr>
              <w:t>Critical Path Partners</w:t>
            </w:r>
          </w:p>
          <w:p>
            <w:pPr>
              <w:spacing w:after="80"/>
            </w:pPr>
            <w:r>
              <w:rPr>
                <w:rFonts w:ascii="Inter" w:hAnsi="Inter"/>
                <w:color w:val="33455A"/>
                <w:sz w:val="23"/>
              </w:rPr>
              <w:t>Invoice</w:t>
            </w:r>
          </w:p>
          <w:p>
            <w:pPr>
              <w:spacing w:before="80" w:after="0"/>
            </w:pPr>
            <w:r>
              <w:rPr>
                <w:rFonts w:ascii="Inter" w:hAnsi="Inter"/>
                <w:color w:val="33455A"/>
                <w:sz w:val="17"/>
              </w:rPr>
              <w:t xml:space="preserve">Invoice no.  </w:t>
            </w:r>
            <w:r>
              <w:rPr>
                <w:rFonts w:ascii="Inter" w:hAnsi="Inter"/>
                <w:b/>
                <w:color w:val="0D1B2A"/>
                <w:sz w:val="19"/>
              </w:rPr>
              <w:t>SPECIMEN</w:t>
            </w:r>
            <w:r>
              <w:rPr>
                <w:rFonts w:ascii="Inter" w:hAnsi="Inter"/>
              </w:rPr>
              <w:t xml:space="preserve">    </w:t>
            </w:r>
            <w:r>
              <w:rPr>
                <w:rFonts w:ascii="Inter" w:hAnsi="Inter"/>
                <w:color w:val="33455A"/>
                <w:sz w:val="17"/>
              </w:rPr>
              <w:t xml:space="preserve">Client  </w:t>
            </w:r>
            <w:r>
              <w:rPr>
                <w:rFonts w:ascii="Inter" w:hAnsi="Inter"/>
                <w:b/>
                <w:color w:val="0D1B2A"/>
                <w:sz w:val="19"/>
              </w:rPr>
              <w:t>Northgate Constructors (Demo)</w:t>
            </w:r>
            <w:r>
              <w:rPr>
                <w:rFonts w:ascii="Inter" w:hAnsi="Inter"/>
              </w:rPr>
              <w:t xml:space="preserve">    </w:t>
            </w:r>
            <w:r>
              <w:rPr>
                <w:rFonts w:ascii="Inter" w:hAnsi="Inter"/>
                <w:color w:val="33455A"/>
                <w:sz w:val="17"/>
              </w:rPr>
              <w:t xml:space="preserve">Matter ref.  </w:t>
            </w:r>
            <w:r>
              <w:rPr>
                <w:rFonts w:ascii="Inter" w:hAnsi="Inter"/>
                <w:b/>
                <w:color w:val="0D1B2A"/>
                <w:sz w:val="19"/>
              </w:rPr>
              <w:t>CPP-2025-DEMO</w:t>
            </w:r>
            <w:r>
              <w:rPr>
                <w:rFonts w:ascii="Inter" w:hAnsi="Inter"/>
              </w:rPr>
              <w:t xml:space="preserve">    </w:t>
            </w:r>
            <w:r>
              <w:rPr>
                <w:rFonts w:ascii="Inter" w:hAnsi="Inter"/>
                <w:color w:val="33455A"/>
                <w:sz w:val="17"/>
              </w:rPr>
              <w:t xml:space="preserve">Date  </w:t>
            </w:r>
            <w:r>
              <w:rPr>
                <w:rFonts w:ascii="Inter" w:hAnsi="Inter"/>
                <w:b/>
                <w:color w:val="0D1B2A"/>
                <w:sz w:val="19"/>
              </w:rPr>
              <w:t>September 01, 2026</w:t>
            </w:r>
          </w:p>
        </w:tc>
      </w:tr>
    </w:tbl>
    <w:p>
      <w:pPr>
        <w:spacing w:after="80"/>
      </w:pPr>
    </w:p>
    <w:p>
      <w:pPr>
        <w:keepNext/>
        <w:spacing w:before="320" w:after="120"/>
        <w:pBdr>
          <w:bottom w:val="single" w:sz="6" w:space="4" w:color="C9D3DD"/>
        </w:pBdr>
      </w:pPr>
      <w:r>
        <w:rPr>
          <w:rFonts w:ascii="Inter" w:hAnsi="Inter"/>
          <w:b/>
          <w:color w:val="C8392F"/>
          <w:sz w:val="18"/>
        </w:rPr>
        <w:t>I-01</w:t>
      </w:r>
      <w:r>
        <w:t xml:space="preserve">   </w:t>
      </w:r>
      <w:r>
        <w:rPr>
          <w:rFonts w:ascii="Inter" w:hAnsi="Inter"/>
          <w:b/>
          <w:color w:val="0D1B2A"/>
          <w:sz w:val="27"/>
        </w:rPr>
        <w:t>Invoice details</w:t>
      </w:r>
    </w:p>
    <w:tbl>
      <w:tblPr>
        <w:tblW w:type="auto" w:w="0"/>
        <w:tblLook w:firstColumn="1" w:firstRow="1" w:lastColumn="0" w:lastRow="0" w:noHBand="0" w:noVBand="1" w:val="04A0"/>
        <w:tblLayout w:type="fixed"/>
      </w:tblPr>
      <w:tblGrid>
        <w:gridCol w:w="2736"/>
        <w:gridCol w:w="6623"/>
      </w:tblGrid>
      <w:tr>
        <w:tc>
          <w:tcPr>
            <w:tcW w:type="dxa" w:w="2736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33455A"/>
                <w:sz w:val="18"/>
              </w:rPr>
              <w:t>From</w:t>
            </w:r>
          </w:p>
        </w:tc>
        <w:tc>
          <w:tcPr>
            <w:tcW w:type="dxa" w:w="6623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0D1B2A"/>
                <w:sz w:val="19"/>
              </w:rPr>
              <w:t>Critical Path Partners (Dana Fitkowski, Principal)</w:t>
            </w:r>
          </w:p>
        </w:tc>
      </w:tr>
      <w:tr>
        <w:tc>
          <w:tcPr>
            <w:tcW w:type="dxa" w:w="2736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33455A"/>
                <w:sz w:val="18"/>
              </w:rPr>
              <w:t>Bill to</w:t>
            </w:r>
          </w:p>
        </w:tc>
        <w:tc>
          <w:tcPr>
            <w:tcW w:type="dxa" w:w="6623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0D1B2A"/>
                <w:sz w:val="19"/>
              </w:rPr>
              <w:t>Northgate Constructors (Demo)</w:t>
            </w:r>
          </w:p>
        </w:tc>
      </w:tr>
      <w:tr>
        <w:tc>
          <w:tcPr>
            <w:tcW w:type="dxa" w:w="2736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33455A"/>
                <w:sz w:val="18"/>
              </w:rPr>
              <w:t>Client address</w:t>
            </w:r>
          </w:p>
        </w:tc>
        <w:tc>
          <w:tcPr>
            <w:tcW w:type="dxa" w:w="6623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0D1B2A"/>
                <w:sz w:val="19"/>
              </w:rPr>
              <w:t>400 Example Road, Toronto, Ontario (Demo)</w:t>
            </w:r>
          </w:p>
        </w:tc>
      </w:tr>
      <w:tr>
        <w:tc>
          <w:tcPr>
            <w:tcW w:type="dxa" w:w="2736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33455A"/>
                <w:sz w:val="18"/>
              </w:rPr>
              <w:t>Invoice number</w:t>
            </w:r>
          </w:p>
        </w:tc>
        <w:tc>
          <w:tcPr>
            <w:tcW w:type="dxa" w:w="6623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0D1B2A"/>
                <w:sz w:val="19"/>
              </w:rPr>
              <w:t>SPECIMEN</w:t>
            </w:r>
          </w:p>
        </w:tc>
      </w:tr>
      <w:tr>
        <w:tc>
          <w:tcPr>
            <w:tcW w:type="dxa" w:w="2736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33455A"/>
                <w:sz w:val="18"/>
              </w:rPr>
              <w:t>Invoice date</w:t>
            </w:r>
          </w:p>
        </w:tc>
        <w:tc>
          <w:tcPr>
            <w:tcW w:type="dxa" w:w="6623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0D1B2A"/>
                <w:sz w:val="19"/>
              </w:rPr>
              <w:t>September 01, 2026</w:t>
            </w:r>
          </w:p>
        </w:tc>
      </w:tr>
      <w:tr>
        <w:tc>
          <w:tcPr>
            <w:tcW w:type="dxa" w:w="2736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33455A"/>
                <w:sz w:val="18"/>
              </w:rPr>
              <w:t>Matter reference</w:t>
            </w:r>
          </w:p>
        </w:tc>
        <w:tc>
          <w:tcPr>
            <w:tcW w:type="dxa" w:w="6623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0D1B2A"/>
                <w:sz w:val="19"/>
              </w:rPr>
              <w:t>CPP-2025-DEMO</w:t>
            </w:r>
          </w:p>
        </w:tc>
      </w:tr>
      <w:tr>
        <w:tc>
          <w:tcPr>
            <w:tcW w:type="dxa" w:w="2736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 w:val="0"/>
                <w:color w:val="33455A"/>
                <w:sz w:val="18"/>
              </w:rPr>
              <w:t>Payment terms</w:t>
            </w:r>
          </w:p>
        </w:tc>
        <w:tc>
          <w:tcPr>
            <w:tcW w:type="dxa" w:w="6623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0D1B2A"/>
                <w:sz w:val="19"/>
              </w:rPr>
              <w:t>Net 30 days from invoice date</w:t>
            </w:r>
          </w:p>
        </w:tc>
      </w:tr>
    </w:tbl>
    <w:p>
      <w:pPr>
        <w:spacing w:after="40"/>
      </w:pPr>
    </w:p>
    <w:p>
      <w:pPr>
        <w:keepNext/>
        <w:spacing w:before="320" w:after="120"/>
        <w:pBdr>
          <w:bottom w:val="single" w:sz="6" w:space="4" w:color="C9D3DD"/>
        </w:pBdr>
      </w:pPr>
      <w:r>
        <w:rPr>
          <w:rFonts w:ascii="Inter" w:hAnsi="Inter"/>
          <w:b/>
          <w:color w:val="C8392F"/>
          <w:sz w:val="18"/>
        </w:rPr>
        <w:t>I-02</w:t>
      </w:r>
      <w:r>
        <w:t xml:space="preserve">   </w:t>
      </w:r>
      <w:r>
        <w:rPr>
          <w:rFonts w:ascii="Inter" w:hAnsi="Inter"/>
          <w:b/>
          <w:color w:val="0D1B2A"/>
          <w:sz w:val="27"/>
        </w:rPr>
        <w:t>Line items</w:t>
      </w:r>
    </w:p>
    <w:tbl>
      <w:tblPr>
        <w:tblW w:type="auto" w:w="0"/>
        <w:jc w:val="center"/>
        <w:tblLook w:firstColumn="1" w:firstRow="1" w:lastColumn="0" w:lastRow="0" w:noHBand="0" w:noVBand="1" w:val="04A0"/>
        <w:tblLayout w:type="fixed"/>
      </w:tblPr>
      <w:tblGrid>
        <w:gridCol w:w="4680"/>
        <w:gridCol w:w="4680"/>
      </w:tblGrid>
      <w:tr>
        <w:tc>
          <w:tcPr>
            <w:tcW w:type="dxa" w:w="4680"/>
            <w:tcBorders>
              <w:bottom w:val="single" w:sz="8" w:space="0" w:color="0F2540"/>
            </w:tcBorders>
            <w:vAlign w:val="center"/>
          </w:tcPr>
          <w:p>
            <w:pPr>
              <w:jc w:val="lef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Description</w:t>
            </w:r>
          </w:p>
        </w:tc>
        <w:tc>
          <w:tcPr>
            <w:tcW w:type="dxa" w:w="4680"/>
            <w:tcBorders>
              <w:bottom w:val="single" w:sz="8" w:space="0" w:color="0F2540"/>
            </w:tcBorders>
            <w:vAlign w:val="center"/>
          </w:tcPr>
          <w:p>
            <w:pPr>
              <w:jc w:val="right"/>
            </w:pPr>
            <w:r/>
            <w:r>
              <w:rPr>
                <w:rFonts w:ascii="Inter" w:hAnsi="Inter"/>
                <w:b/>
                <w:color w:val="33455A"/>
                <w:sz w:val="17"/>
              </w:rPr>
              <w:t>Amount (CAD)</w:t>
            </w:r>
          </w:p>
        </w:tc>
      </w:tr>
      <w:tr>
        <w:tc>
          <w:tcPr>
            <w:tcW w:type="dxa" w:w="468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Schedule analysis and extension-of-time submission, fixed fee (demonstration)</w:t>
            </w:r>
          </w:p>
        </w:tc>
        <w:tc>
          <w:tcPr>
            <w:tcW w:type="dxa" w:w="4680"/>
            <w:tcBorders>
              <w:bottom w:val="single" w:sz="4" w:space="0" w:color="C9D3DD"/>
            </w:tcBorders>
            <w:vAlign w:val="center"/>
          </w:tcPr>
          <w:p>
            <w:pPr>
              <w:jc w:val="right"/>
            </w:pPr>
            <w:r/>
            <w:r>
              <w:rPr>
                <w:rFonts w:ascii="Consolas" w:hAnsi="Consolas" w:cs="Consolas"/>
                <w:b w:val="0"/>
                <w:color w:val="0D1B2A"/>
                <w:sz w:val="19"/>
              </w:rPr>
              <w:t>$12,500.00 CAD</w:t>
            </w:r>
          </w:p>
        </w:tc>
      </w:tr>
      <w:tr>
        <w:tc>
          <w:tcPr>
            <w:tcW w:type="dxa" w:w="468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Subtotal</w:t>
            </w:r>
          </w:p>
        </w:tc>
        <w:tc>
          <w:tcPr>
            <w:tcW w:type="dxa" w:w="4680"/>
            <w:tcBorders>
              <w:bottom w:val="single" w:sz="4" w:space="0" w:color="C9D3DD"/>
            </w:tcBorders>
            <w:vAlign w:val="center"/>
          </w:tcPr>
          <w:p>
            <w:pPr>
              <w:jc w:val="right"/>
            </w:pPr>
            <w:r/>
            <w:r>
              <w:rPr>
                <w:rFonts w:ascii="Consolas" w:hAnsi="Consolas" w:cs="Consolas"/>
                <w:b w:val="0"/>
                <w:color w:val="0D1B2A"/>
                <w:sz w:val="19"/>
              </w:rPr>
              <w:t>$12,500.00 CAD</w:t>
            </w:r>
          </w:p>
        </w:tc>
      </w:tr>
      <w:tr>
        <w:tc>
          <w:tcPr>
            <w:tcW w:type="dxa" w:w="468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HST (13%), registration 844514927 RT0001</w:t>
            </w:r>
          </w:p>
        </w:tc>
        <w:tc>
          <w:tcPr>
            <w:tcW w:type="dxa" w:w="4680"/>
            <w:tcBorders>
              <w:bottom w:val="single" w:sz="4" w:space="0" w:color="C9D3DD"/>
            </w:tcBorders>
            <w:vAlign w:val="center"/>
          </w:tcPr>
          <w:p>
            <w:pPr>
              <w:jc w:val="right"/>
            </w:pPr>
            <w:r/>
            <w:r>
              <w:rPr>
                <w:rFonts w:ascii="Consolas" w:hAnsi="Consolas" w:cs="Consolas"/>
                <w:b w:val="0"/>
                <w:color w:val="0D1B2A"/>
                <w:sz w:val="19"/>
              </w:rPr>
              <w:t>$1,625.00 CAD</w:t>
            </w:r>
          </w:p>
        </w:tc>
      </w:tr>
      <w:tr>
        <w:tc>
          <w:tcPr>
            <w:tcW w:type="dxa" w:w="4680"/>
            <w:tcBorders>
              <w:bottom w:val="single" w:sz="4" w:space="0" w:color="C9D3DD"/>
            </w:tcBorders>
            <w:vAlign w:val="center"/>
          </w:tcPr>
          <w:p>
            <w:pPr>
              <w:jc w:val="left"/>
            </w:pPr>
            <w:r/>
            <w:r>
              <w:rPr>
                <w:rFonts w:ascii="Consolas" w:hAnsi="Consolas" w:cs="Consolas"/>
                <w:b/>
                <w:color w:val="0D1B2A"/>
                <w:sz w:val="19"/>
              </w:rPr>
              <w:t>Total due</w:t>
            </w:r>
          </w:p>
        </w:tc>
        <w:tc>
          <w:tcPr>
            <w:tcW w:type="dxa" w:w="4680"/>
            <w:tcBorders>
              <w:bottom w:val="single" w:sz="4" w:space="0" w:color="C9D3DD"/>
            </w:tcBorders>
            <w:vAlign w:val="center"/>
          </w:tcPr>
          <w:p>
            <w:pPr>
              <w:jc w:val="right"/>
            </w:pPr>
            <w:r/>
            <w:r>
              <w:rPr>
                <w:rFonts w:ascii="Consolas" w:hAnsi="Consolas" w:cs="Consolas"/>
                <w:b w:val="0"/>
                <w:color w:val="0D1B2A"/>
                <w:sz w:val="19"/>
              </w:rPr>
              <w:t>$14,125.00 CAD</w:t>
            </w:r>
          </w:p>
        </w:tc>
      </w:tr>
    </w:tbl>
    <w:p>
      <w:pPr>
        <w:spacing w:after="40"/>
      </w:pPr>
    </w:p>
    <w:p>
      <w:pPr>
        <w:keepNext/>
        <w:spacing w:before="320" w:after="120"/>
        <w:pBdr>
          <w:bottom w:val="single" w:sz="6" w:space="4" w:color="C9D3DD"/>
        </w:pBdr>
      </w:pPr>
      <w:r>
        <w:rPr>
          <w:rFonts w:ascii="Inter" w:hAnsi="Inter"/>
          <w:b/>
          <w:color w:val="C8392F"/>
          <w:sz w:val="18"/>
        </w:rPr>
        <w:t>I-03</w:t>
      </w:r>
      <w:r>
        <w:t xml:space="preserve">   </w:t>
      </w:r>
      <w:r>
        <w:rPr>
          <w:rFonts w:ascii="Inter" w:hAnsi="Inter"/>
          <w:b/>
          <w:color w:val="0D1B2A"/>
          <w:sz w:val="27"/>
        </w:rPr>
        <w:t>Remittance</w:t>
      </w:r>
    </w:p>
    <w:p>
      <w:r>
        <w:rPr>
          <w:rFonts w:ascii="Inter" w:hAnsi="Inter"/>
          <w:b w:val="0"/>
          <w:color w:val="0D1B2A"/>
          <w:sz w:val="21"/>
        </w:rPr>
        <w:t>Remittance instructions: Demonstration specimen; no payment is due.</w:t>
      </w:r>
    </w:p>
    <w:p>
      <w:r>
        <w:rPr>
          <w:rFonts w:ascii="Inter" w:hAnsi="Inter"/>
          <w:b w:val="0"/>
          <w:color w:val="0D1B2A"/>
          <w:sz w:val="21"/>
        </w:rPr>
        <w:t>Amounts are in Canadian dollars (CAD). Payment terms: Net 30 days from invoice date.</w:t>
      </w:r>
    </w:p>
    <w:p/>
    <w:p>
      <w:r>
        <w:rPr>
          <w:rFonts w:ascii="Inter" w:hAnsi="Inter"/>
          <w:b w:val="0"/>
          <w:color w:val="0F2540"/>
          <w:sz w:val="18"/>
        </w:rPr>
        <w:t>Critical Path Partners · CPP-INV / SPECIMEN · prepared September 01, 2026</w:t>
      </w:r>
    </w:p>
    <w:sectPr w:rsidR="00FC693F" w:rsidRPr="0006063C" w:rsidSect="00034616">
      <w:pgSz w:w="12240" w:h="15840"/>
      <w:pgMar w:top="1296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88" w:lineRule="auto"/>
    </w:pPr>
    <w:rPr>
      <w:rFonts w:ascii="Inter" w:hAnsi="Inter"/>
      <w:color w:val="0D1B2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 w:ascii="Inter" w:hAnsi="Inter"/>
      <w:b/>
      <w:bCs/>
      <w:color w:val="0D1B2A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20"/>
      <w:outlineLvl w:val="1"/>
    </w:pPr>
    <w:rPr>
      <w:rFonts w:asciiTheme="majorHAnsi" w:eastAsiaTheme="majorEastAsia" w:hAnsiTheme="majorHAnsi" w:cstheme="majorBidi" w:ascii="Inter" w:hAnsi="Inter"/>
      <w:b/>
      <w:bCs/>
      <w:color w:val="0D1B2A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80"/>
      <w:outlineLvl w:val="2"/>
    </w:pPr>
    <w:rPr>
      <w:rFonts w:asciiTheme="majorHAnsi" w:eastAsiaTheme="majorEastAsia" w:hAnsiTheme="majorHAnsi" w:cstheme="majorBidi" w:ascii="Inter" w:hAnsi="Inter"/>
      <w:b/>
      <w:bCs/>
      <w:color w:val="0F2540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Inter" w:hAnsi="Inter"/>
      <w:b/>
      <w:color w:val="0D1B2A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CPPMono">
    <w:name w:val="CPP Mono"/>
    <w:rPr>
      <w:rFonts w:ascii="Consolas" w:hAnsi="Consolas" w:cs="Consolas"/>
      <w:color w:val="0D1B2A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